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043E1" w14:textId="7F363D6E" w:rsidR="00AD3076" w:rsidRDefault="00F3611A" w:rsidP="00AD3076">
      <w:pPr>
        <w:jc w:val="center"/>
        <w:rPr>
          <w:sz w:val="22"/>
          <w:szCs w:val="22"/>
        </w:rPr>
      </w:pPr>
      <w:r>
        <w:rPr>
          <w:sz w:val="22"/>
          <w:szCs w:val="22"/>
        </w:rPr>
        <w:t>NOT TO EXCEED $</w:t>
      </w:r>
      <w:r w:rsidR="00AD3076">
        <w:rPr>
          <w:sz w:val="22"/>
          <w:szCs w:val="22"/>
        </w:rPr>
        <w:t>45,000</w:t>
      </w:r>
      <w:r>
        <w:rPr>
          <w:sz w:val="22"/>
          <w:szCs w:val="22"/>
        </w:rPr>
        <w:t xml:space="preserve">,000 </w:t>
      </w:r>
      <w:r w:rsidR="00AD3076">
        <w:rPr>
          <w:sz w:val="22"/>
          <w:szCs w:val="22"/>
        </w:rPr>
        <w:br/>
      </w:r>
      <w:r>
        <w:rPr>
          <w:sz w:val="22"/>
          <w:szCs w:val="22"/>
        </w:rPr>
        <w:t xml:space="preserve">LOUISIANA LOCAL GOVERNMENT ENVIRONMENTAL </w:t>
      </w:r>
      <w:r w:rsidR="00AD3076">
        <w:rPr>
          <w:sz w:val="22"/>
          <w:szCs w:val="22"/>
        </w:rPr>
        <w:br/>
      </w:r>
      <w:r>
        <w:rPr>
          <w:sz w:val="22"/>
          <w:szCs w:val="22"/>
        </w:rPr>
        <w:t xml:space="preserve">FACILITIES AND COMMUNITY DEVELOPMENT AUTHORITY </w:t>
      </w:r>
      <w:r w:rsidR="00AD3076">
        <w:rPr>
          <w:sz w:val="22"/>
          <w:szCs w:val="22"/>
        </w:rPr>
        <w:br/>
        <w:t xml:space="preserve">STUDENT HOUSING </w:t>
      </w:r>
      <w:r>
        <w:rPr>
          <w:sz w:val="22"/>
          <w:szCs w:val="22"/>
        </w:rPr>
        <w:t xml:space="preserve">REVENUE </w:t>
      </w:r>
      <w:r w:rsidR="00AD3076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REFUNDING BONDS </w:t>
      </w:r>
    </w:p>
    <w:p w14:paraId="60B0105A" w14:textId="3BC7BC69" w:rsidR="00D35BC0" w:rsidRDefault="00F3611A" w:rsidP="00AD3076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AD3076">
        <w:rPr>
          <w:sz w:val="22"/>
          <w:szCs w:val="22"/>
        </w:rPr>
        <w:t>BATON ROUGE STUDENT HOUSING, L.L.C. PROJECT</w:t>
      </w:r>
      <w:r>
        <w:rPr>
          <w:sz w:val="22"/>
          <w:szCs w:val="22"/>
        </w:rPr>
        <w:t>) IN ONE OR MORE SERIES</w:t>
      </w:r>
    </w:p>
    <w:p w14:paraId="5D703FC9" w14:textId="77777777" w:rsidR="00D35BC0" w:rsidRDefault="00D35BC0">
      <w:pPr>
        <w:ind w:firstLine="720"/>
        <w:jc w:val="center"/>
        <w:rPr>
          <w:sz w:val="22"/>
          <w:szCs w:val="22"/>
        </w:rPr>
      </w:pPr>
    </w:p>
    <w:p w14:paraId="364BDBDC" w14:textId="77777777" w:rsidR="00D35BC0" w:rsidRDefault="00F3611A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NOTICE OF PUBLIC HEARING </w:t>
      </w:r>
    </w:p>
    <w:p w14:paraId="173E5899" w14:textId="77777777" w:rsidR="00D35BC0" w:rsidRDefault="00D35BC0">
      <w:pPr>
        <w:ind w:firstLine="720"/>
        <w:rPr>
          <w:sz w:val="22"/>
          <w:szCs w:val="22"/>
        </w:rPr>
      </w:pPr>
    </w:p>
    <w:p w14:paraId="70937612" w14:textId="65E69148" w:rsidR="00936388" w:rsidRPr="00936388" w:rsidRDefault="00F3611A" w:rsidP="0093638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Notice is hereby given that the Louisiana Local Government Environmental Facilities and Community Development Authority (the “</w:t>
      </w:r>
      <w:r>
        <w:rPr>
          <w:i/>
          <w:sz w:val="22"/>
          <w:szCs w:val="22"/>
        </w:rPr>
        <w:t>Authority</w:t>
      </w:r>
      <w:r>
        <w:rPr>
          <w:sz w:val="22"/>
          <w:szCs w:val="22"/>
        </w:rPr>
        <w:t xml:space="preserve">”) will conduct and hold a public hearing at the office of the Authority, 5641 Bankers Avenue, Bldg. B, Baton Rouge, Louisiana 70808 on </w:t>
      </w:r>
      <w:r w:rsidR="00D9576B">
        <w:rPr>
          <w:sz w:val="22"/>
          <w:szCs w:val="22"/>
        </w:rPr>
        <w:t>February 11</w:t>
      </w:r>
      <w:r w:rsidR="00AD3076">
        <w:rPr>
          <w:sz w:val="22"/>
          <w:szCs w:val="22"/>
        </w:rPr>
        <w:t>, 202</w:t>
      </w:r>
      <w:r w:rsidR="004B03DD">
        <w:rPr>
          <w:sz w:val="22"/>
          <w:szCs w:val="22"/>
        </w:rPr>
        <w:t>5</w:t>
      </w:r>
      <w:r>
        <w:rPr>
          <w:sz w:val="22"/>
          <w:szCs w:val="22"/>
        </w:rPr>
        <w:t xml:space="preserve"> at </w:t>
      </w:r>
      <w:r w:rsidR="004B03DD">
        <w:rPr>
          <w:sz w:val="22"/>
          <w:szCs w:val="22"/>
        </w:rPr>
        <w:t>10:00</w:t>
      </w:r>
      <w:r>
        <w:rPr>
          <w:sz w:val="22"/>
          <w:szCs w:val="22"/>
        </w:rPr>
        <w:t xml:space="preserve"> a.m. to hear any objections to the issuance, sale and delivery of its not to exceed $</w:t>
      </w:r>
      <w:r w:rsidR="00AD3076">
        <w:rPr>
          <w:sz w:val="22"/>
          <w:szCs w:val="22"/>
        </w:rPr>
        <w:t>45,000</w:t>
      </w:r>
      <w:r>
        <w:rPr>
          <w:sz w:val="22"/>
          <w:szCs w:val="22"/>
        </w:rPr>
        <w:t xml:space="preserve">,000 </w:t>
      </w:r>
      <w:r w:rsidR="00AD3076">
        <w:rPr>
          <w:sz w:val="22"/>
          <w:szCs w:val="22"/>
        </w:rPr>
        <w:t xml:space="preserve">Student Housing </w:t>
      </w:r>
      <w:r>
        <w:rPr>
          <w:sz w:val="22"/>
          <w:szCs w:val="22"/>
        </w:rPr>
        <w:t xml:space="preserve">Revenue </w:t>
      </w:r>
      <w:r w:rsidR="00AD3076" w:rsidRPr="00936388">
        <w:rPr>
          <w:sz w:val="22"/>
          <w:szCs w:val="22"/>
        </w:rPr>
        <w:t xml:space="preserve">and </w:t>
      </w:r>
      <w:r w:rsidRPr="00936388">
        <w:rPr>
          <w:sz w:val="22"/>
          <w:szCs w:val="22"/>
        </w:rPr>
        <w:t>Refunding Bonds (</w:t>
      </w:r>
      <w:r w:rsidR="00AD3076" w:rsidRPr="00936388">
        <w:rPr>
          <w:sz w:val="22"/>
          <w:szCs w:val="22"/>
        </w:rPr>
        <w:t xml:space="preserve">Baton Rouge Student Housing, L.L.C. </w:t>
      </w:r>
      <w:r w:rsidRPr="00936388">
        <w:rPr>
          <w:sz w:val="22"/>
          <w:szCs w:val="22"/>
        </w:rPr>
        <w:t>Project) in one or more series (the “</w:t>
      </w:r>
      <w:r w:rsidRPr="00936388">
        <w:rPr>
          <w:i/>
          <w:sz w:val="22"/>
          <w:szCs w:val="22"/>
        </w:rPr>
        <w:t>Bonds</w:t>
      </w:r>
      <w:r w:rsidRPr="00936388">
        <w:rPr>
          <w:sz w:val="22"/>
          <w:szCs w:val="22"/>
        </w:rPr>
        <w:t>”).</w:t>
      </w:r>
      <w:r w:rsidR="00936388" w:rsidRPr="00936388">
        <w:rPr>
          <w:sz w:val="22"/>
          <w:szCs w:val="22"/>
        </w:rPr>
        <w:t xml:space="preserve"> All or a portion of the Bonds will be issued as qualified 501(c)(3) bonds within the meaning of Section 145 of the Code.</w:t>
      </w:r>
    </w:p>
    <w:p w14:paraId="4DD9989C" w14:textId="642575EA" w:rsidR="00D35BC0" w:rsidRPr="00936388" w:rsidRDefault="00D35BC0">
      <w:pPr>
        <w:ind w:firstLine="720"/>
        <w:jc w:val="both"/>
        <w:rPr>
          <w:sz w:val="22"/>
          <w:szCs w:val="22"/>
        </w:rPr>
      </w:pPr>
    </w:p>
    <w:p w14:paraId="7F0E6D91" w14:textId="2B1DE187" w:rsidR="00AD3076" w:rsidRDefault="00F361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Bonds are being issued by the Authority on behalf of </w:t>
      </w:r>
      <w:r w:rsidR="00AD3076">
        <w:rPr>
          <w:sz w:val="22"/>
          <w:szCs w:val="22"/>
        </w:rPr>
        <w:t>Baton Rouge Student Housing, L.L.C.</w:t>
      </w:r>
      <w:r>
        <w:rPr>
          <w:sz w:val="22"/>
          <w:szCs w:val="22"/>
        </w:rPr>
        <w:t xml:space="preserve">, a </w:t>
      </w:r>
      <w:r w:rsidR="00AD3076">
        <w:rPr>
          <w:sz w:val="22"/>
          <w:szCs w:val="22"/>
        </w:rPr>
        <w:t>single member limited liability company whose sole member is Student Housing of America, Inc. (the “</w:t>
      </w:r>
      <w:r w:rsidR="00AD3076" w:rsidRPr="00AD3076">
        <w:rPr>
          <w:i/>
          <w:iCs/>
          <w:sz w:val="22"/>
          <w:szCs w:val="22"/>
        </w:rPr>
        <w:t>Borrower</w:t>
      </w:r>
      <w:r w:rsidR="00AD3076">
        <w:rPr>
          <w:sz w:val="22"/>
          <w:szCs w:val="22"/>
        </w:rPr>
        <w:t>”), a Georgia</w:t>
      </w:r>
      <w:r>
        <w:rPr>
          <w:sz w:val="22"/>
          <w:szCs w:val="22"/>
        </w:rPr>
        <w:t xml:space="preserve"> non-profit corporation and an organization described under Section 501(c)(3) of the Internal Revenue Code of 1986</w:t>
      </w:r>
      <w:r w:rsidR="00936388">
        <w:rPr>
          <w:sz w:val="22"/>
          <w:szCs w:val="22"/>
        </w:rPr>
        <w:t>, as amended (the “</w:t>
      </w:r>
      <w:r w:rsidR="00936388" w:rsidRPr="00936388">
        <w:rPr>
          <w:i/>
          <w:iCs/>
          <w:sz w:val="22"/>
          <w:szCs w:val="22"/>
        </w:rPr>
        <w:t>Code</w:t>
      </w:r>
      <w:r w:rsidR="00936388">
        <w:rPr>
          <w:sz w:val="22"/>
          <w:szCs w:val="22"/>
        </w:rPr>
        <w:t>”)</w:t>
      </w:r>
      <w:r>
        <w:rPr>
          <w:sz w:val="22"/>
          <w:szCs w:val="22"/>
        </w:rPr>
        <w:t>, for the purpose of</w:t>
      </w:r>
      <w:r w:rsidR="00AD307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bookmarkStart w:id="0" w:name="OLE_LINK2"/>
      <w:r w:rsidR="00AD3076" w:rsidRPr="00AD3076">
        <w:rPr>
          <w:rFonts w:cs="Times New Roman"/>
          <w:color w:val="000000"/>
          <w:sz w:val="22"/>
          <w:szCs w:val="22"/>
        </w:rPr>
        <w:t xml:space="preserve">(i) </w:t>
      </w:r>
      <w:r w:rsidR="00AD3076" w:rsidRPr="00AD3076">
        <w:rPr>
          <w:rFonts w:cs="Times New Roman"/>
          <w:sz w:val="22"/>
          <w:szCs w:val="22"/>
        </w:rPr>
        <w:t xml:space="preserve">refunding the </w:t>
      </w:r>
      <w:r w:rsidR="00AD3076">
        <w:rPr>
          <w:rFonts w:cs="Times New Roman"/>
          <w:sz w:val="22"/>
          <w:szCs w:val="22"/>
        </w:rPr>
        <w:t xml:space="preserve">Authority’s </w:t>
      </w:r>
      <w:r w:rsidR="00AD3076" w:rsidRPr="00AD3076">
        <w:rPr>
          <w:rFonts w:cs="Times New Roman"/>
          <w:sz w:val="22"/>
          <w:szCs w:val="22"/>
        </w:rPr>
        <w:t xml:space="preserve">outstanding </w:t>
      </w:r>
      <w:r w:rsidR="00AD3076" w:rsidRPr="00AD3076">
        <w:rPr>
          <w:rFonts w:eastAsia="Calibri" w:cs="Times New Roman"/>
          <w:sz w:val="22"/>
          <w:szCs w:val="22"/>
        </w:rPr>
        <w:t>$25,590,000 Revenue Bonds (Baton Rouge Student Housing, L.L.C. Project) Series 2003A (the “</w:t>
      </w:r>
      <w:r w:rsidR="00AD3076" w:rsidRPr="00AD3076">
        <w:rPr>
          <w:rFonts w:eastAsia="Calibri" w:cs="Times New Roman"/>
          <w:i/>
          <w:sz w:val="22"/>
          <w:szCs w:val="22"/>
        </w:rPr>
        <w:t>Series 2003A Bonds</w:t>
      </w:r>
      <w:r w:rsidR="00AD3076" w:rsidRPr="00AD3076">
        <w:rPr>
          <w:rFonts w:eastAsia="Calibri" w:cs="Times New Roman"/>
          <w:sz w:val="22"/>
          <w:szCs w:val="22"/>
        </w:rPr>
        <w:t>”)</w:t>
      </w:r>
      <w:r w:rsidR="00AD3076" w:rsidRPr="00AD3076">
        <w:rPr>
          <w:rFonts w:cs="Times New Roman"/>
          <w:sz w:val="22"/>
          <w:szCs w:val="22"/>
        </w:rPr>
        <w:t xml:space="preserve">, (ii) repaying advances and insurance claims relating to the </w:t>
      </w:r>
      <w:r w:rsidR="00AD3076">
        <w:rPr>
          <w:rFonts w:cs="Times New Roman"/>
          <w:sz w:val="22"/>
          <w:szCs w:val="22"/>
        </w:rPr>
        <w:t>Facilities (as hereinafter defined)</w:t>
      </w:r>
      <w:r w:rsidR="00AD3076" w:rsidRPr="00AD3076">
        <w:rPr>
          <w:rFonts w:cs="Times New Roman"/>
          <w:sz w:val="22"/>
          <w:szCs w:val="22"/>
        </w:rPr>
        <w:t xml:space="preserve">, (iii) funding capital improvements to the </w:t>
      </w:r>
      <w:r w:rsidR="00AD3076">
        <w:rPr>
          <w:rFonts w:cs="Times New Roman"/>
          <w:sz w:val="22"/>
          <w:szCs w:val="22"/>
        </w:rPr>
        <w:t>Facilities</w:t>
      </w:r>
      <w:r w:rsidR="00AD3076" w:rsidRPr="00AD3076">
        <w:rPr>
          <w:rFonts w:cs="Times New Roman"/>
          <w:sz w:val="22"/>
          <w:szCs w:val="22"/>
        </w:rPr>
        <w:t>, if necessary; (iv) funding a debt service reserve fund for the Bonds and funding or replenishing certain reserves, and (v) paying costs of issuance of the Bonds</w:t>
      </w:r>
      <w:bookmarkEnd w:id="0"/>
      <w:r>
        <w:rPr>
          <w:sz w:val="22"/>
          <w:szCs w:val="22"/>
        </w:rPr>
        <w:t xml:space="preserve">. </w:t>
      </w:r>
    </w:p>
    <w:p w14:paraId="59CD3524" w14:textId="77777777" w:rsidR="00AD3076" w:rsidRDefault="00AD3076">
      <w:pPr>
        <w:ind w:firstLine="720"/>
        <w:jc w:val="both"/>
        <w:rPr>
          <w:sz w:val="22"/>
          <w:szCs w:val="22"/>
        </w:rPr>
      </w:pPr>
    </w:p>
    <w:p w14:paraId="252A40BC" w14:textId="7739A6DC" w:rsidR="00D35BC0" w:rsidRDefault="00F361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D3076" w:rsidRPr="00AD3076">
        <w:rPr>
          <w:rFonts w:eastAsia="Calibri" w:cs="Times New Roman"/>
          <w:sz w:val="22"/>
          <w:szCs w:val="22"/>
        </w:rPr>
        <w:t>Series 2003A Bonds were issued for the purpose of (i) financing the development, design, acquisition, construction and equipping of student housing facilities for the Borrower</w:t>
      </w:r>
      <w:r w:rsidR="00AD3076">
        <w:rPr>
          <w:rFonts w:eastAsia="Calibri" w:cs="Times New Roman"/>
          <w:sz w:val="22"/>
          <w:szCs w:val="22"/>
        </w:rPr>
        <w:t xml:space="preserve"> (the “</w:t>
      </w:r>
      <w:r w:rsidR="00AD3076" w:rsidRPr="00AD3076">
        <w:rPr>
          <w:rFonts w:eastAsia="Calibri" w:cs="Times New Roman"/>
          <w:i/>
          <w:iCs/>
          <w:sz w:val="22"/>
          <w:szCs w:val="22"/>
        </w:rPr>
        <w:t>Facilities</w:t>
      </w:r>
      <w:r w:rsidR="00AD3076">
        <w:rPr>
          <w:rFonts w:eastAsia="Calibri" w:cs="Times New Roman"/>
          <w:sz w:val="22"/>
          <w:szCs w:val="22"/>
        </w:rPr>
        <w:t>”)</w:t>
      </w:r>
      <w:r w:rsidR="00AD3076" w:rsidRPr="00AD3076">
        <w:rPr>
          <w:rFonts w:eastAsia="Calibri" w:cs="Times New Roman"/>
          <w:sz w:val="22"/>
          <w:szCs w:val="22"/>
        </w:rPr>
        <w:t>; (ii) funding a debt service reserve fund; (iii) funding capitalized interest on the Series 2003A Bonds; and (iv) paying a portion of the costs of issuance of the Series 2003A Bonds</w:t>
      </w:r>
      <w:r w:rsidR="00AD3076">
        <w:rPr>
          <w:rFonts w:eastAsia="Calibri" w:cs="Times New Roman"/>
          <w:sz w:val="22"/>
          <w:szCs w:val="22"/>
        </w:rPr>
        <w:t xml:space="preserve">, </w:t>
      </w:r>
      <w:r w:rsidR="00936388">
        <w:rPr>
          <w:rFonts w:eastAsia="Calibri" w:cs="Times New Roman"/>
          <w:sz w:val="22"/>
          <w:szCs w:val="22"/>
        </w:rPr>
        <w:t>which Facilities are principally used, owned and operated by the Borrower and are</w:t>
      </w:r>
      <w:r w:rsidR="00936388">
        <w:rPr>
          <w:sz w:val="22"/>
          <w:szCs w:val="22"/>
        </w:rPr>
        <w:t xml:space="preserve"> located at 7801 Scenic Highway, Baton Rouge, Louisiana 70807. The Bonds will be secured by payments under a Loan Agreement between the Authority and the Borrower </w:t>
      </w:r>
      <w:r w:rsidR="00936388" w:rsidRPr="00AD3076">
        <w:rPr>
          <w:rFonts w:cs="Times New Roman"/>
          <w:sz w:val="22"/>
          <w:szCs w:val="22"/>
        </w:rPr>
        <w:t xml:space="preserve">which </w:t>
      </w:r>
      <w:r w:rsidR="00936388">
        <w:rPr>
          <w:rFonts w:cs="Times New Roman"/>
          <w:sz w:val="22"/>
          <w:szCs w:val="22"/>
        </w:rPr>
        <w:t>p</w:t>
      </w:r>
      <w:r w:rsidR="00936388" w:rsidRPr="00AD3076">
        <w:rPr>
          <w:rFonts w:cs="Times New Roman"/>
          <w:sz w:val="22"/>
          <w:szCs w:val="22"/>
        </w:rPr>
        <w:t>ayments are secured by and payable by the Borrower from all revenues received by the Borrower from the operation of the Facilities</w:t>
      </w:r>
      <w:r>
        <w:rPr>
          <w:sz w:val="22"/>
          <w:szCs w:val="22"/>
        </w:rPr>
        <w:t>.</w:t>
      </w:r>
    </w:p>
    <w:p w14:paraId="61023174" w14:textId="77777777" w:rsidR="00D35BC0" w:rsidRDefault="00D35BC0">
      <w:pPr>
        <w:ind w:firstLine="720"/>
        <w:jc w:val="both"/>
        <w:rPr>
          <w:sz w:val="22"/>
          <w:szCs w:val="22"/>
        </w:rPr>
      </w:pPr>
    </w:p>
    <w:p w14:paraId="2C302215" w14:textId="339FC46E" w:rsidR="00D35BC0" w:rsidRDefault="00F361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public and interested parties are invited to attend or to submit written comments in advance of the </w:t>
      </w:r>
      <w:r w:rsidR="009E16F3">
        <w:rPr>
          <w:sz w:val="22"/>
          <w:szCs w:val="22"/>
        </w:rPr>
        <w:t>p</w:t>
      </w:r>
      <w:r>
        <w:rPr>
          <w:sz w:val="22"/>
          <w:szCs w:val="22"/>
        </w:rPr>
        <w:t xml:space="preserve">ublic </w:t>
      </w:r>
      <w:r w:rsidR="009E16F3">
        <w:rPr>
          <w:sz w:val="22"/>
          <w:szCs w:val="22"/>
        </w:rPr>
        <w:t>h</w:t>
      </w:r>
      <w:r>
        <w:rPr>
          <w:sz w:val="22"/>
          <w:szCs w:val="22"/>
        </w:rPr>
        <w:t>earing to Ty E. Carlos, Executive Director of the Louisiana Local Government Environmental Facilities and Community Authority, 5641 Bankers Avenue, Bldg. B, Baton Rouge, Louisiana 70808, Telephone (225) 924-6150.</w:t>
      </w:r>
    </w:p>
    <w:p w14:paraId="4D984B88" w14:textId="77777777" w:rsidR="00D35BC0" w:rsidRDefault="00D35BC0">
      <w:pPr>
        <w:ind w:firstLine="720"/>
        <w:jc w:val="both"/>
        <w:rPr>
          <w:sz w:val="22"/>
          <w:szCs w:val="22"/>
        </w:rPr>
      </w:pPr>
    </w:p>
    <w:p w14:paraId="66967A51" w14:textId="768DF123" w:rsidR="00D35BC0" w:rsidRDefault="00F361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notice is published and the aforementioned public hearing is to be held in satisfaction of the requirements of Section 147(f) of the </w:t>
      </w:r>
      <w:r w:rsidR="00936388">
        <w:rPr>
          <w:sz w:val="22"/>
          <w:szCs w:val="22"/>
        </w:rPr>
        <w:t>Code</w:t>
      </w:r>
      <w:r>
        <w:rPr>
          <w:sz w:val="22"/>
          <w:szCs w:val="22"/>
        </w:rPr>
        <w:t>, regarding the public approval prerequisite to the exclusion from gross income for federal income tax purposes of the interest on the Bonds.</w:t>
      </w:r>
    </w:p>
    <w:p w14:paraId="35DF746E" w14:textId="77777777" w:rsidR="00D35BC0" w:rsidRDefault="00D35BC0">
      <w:pPr>
        <w:ind w:firstLine="720"/>
        <w:jc w:val="both"/>
        <w:rPr>
          <w:sz w:val="22"/>
          <w:szCs w:val="22"/>
        </w:rPr>
      </w:pPr>
    </w:p>
    <w:p w14:paraId="5882753A" w14:textId="77777777" w:rsidR="00D35BC0" w:rsidRDefault="00D35BC0">
      <w:pPr>
        <w:ind w:firstLine="720"/>
        <w:jc w:val="both"/>
        <w:rPr>
          <w:sz w:val="22"/>
          <w:szCs w:val="22"/>
        </w:rPr>
      </w:pPr>
    </w:p>
    <w:p w14:paraId="1FD82709" w14:textId="77777777" w:rsidR="00D35BC0" w:rsidRDefault="00F3611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LOUISIANA LOCAL GOVERNMENT</w:t>
      </w:r>
    </w:p>
    <w:p w14:paraId="425E4C80" w14:textId="77777777" w:rsidR="00D35BC0" w:rsidRDefault="00F3611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ENVIRONMENTAL FACILITIES AND </w:t>
      </w:r>
    </w:p>
    <w:p w14:paraId="36A9A83C" w14:textId="77777777" w:rsidR="00D35BC0" w:rsidRDefault="00F3611A">
      <w:pPr>
        <w:ind w:left="3600" w:firstLine="720"/>
        <w:jc w:val="both"/>
        <w:rPr>
          <w:sz w:val="22"/>
          <w:szCs w:val="22"/>
        </w:rPr>
      </w:pPr>
      <w:r>
        <w:rPr>
          <w:sz w:val="22"/>
          <w:szCs w:val="22"/>
        </w:rPr>
        <w:t>COMMUNITY DEVELOPMENT AUTHORITY</w:t>
      </w:r>
    </w:p>
    <w:p w14:paraId="25A7E88E" w14:textId="77777777" w:rsidR="00D35BC0" w:rsidRDefault="00D35BC0"/>
    <w:sectPr w:rsidR="00D35BC0" w:rsidSect="00732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4CCC7" w14:textId="77777777" w:rsidR="00D35BC0" w:rsidRDefault="00F3611A">
      <w:r>
        <w:separator/>
      </w:r>
    </w:p>
  </w:endnote>
  <w:endnote w:type="continuationSeparator" w:id="0">
    <w:p w14:paraId="0F8234A1" w14:textId="77777777" w:rsidR="00D35BC0" w:rsidRDefault="00F3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B9B5" w14:textId="77777777" w:rsidR="00D9576B" w:rsidRDefault="00D95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C5BD8" w14:textId="77777777" w:rsidR="00D35BC0" w:rsidRDefault="00F3611A">
    <w:pPr>
      <w:pStyle w:val="Footer"/>
    </w:pPr>
    <w:r>
      <w:rPr>
        <w:rStyle w:val="DocID"/>
        <w:sz w:val="16"/>
      </w:rPr>
      <w:t>{B1279840.1}</w:t>
    </w:r>
    <w:r>
      <w:tab/>
    </w:r>
  </w:p>
  <w:p w14:paraId="2E6C1D6D" w14:textId="77777777" w:rsidR="00D35BC0" w:rsidRDefault="00D35BC0"/>
  <w:p w14:paraId="04B19BAB" w14:textId="77777777" w:rsidR="00D35BC0" w:rsidRDefault="00D35BC0"/>
  <w:p w14:paraId="2CADA406" w14:textId="77777777" w:rsidR="00D35BC0" w:rsidRDefault="00D35BC0"/>
  <w:p w14:paraId="1C7A36CD" w14:textId="77777777" w:rsidR="00D35BC0" w:rsidRDefault="00D35BC0"/>
  <w:p w14:paraId="179507EE" w14:textId="77777777" w:rsidR="00D35BC0" w:rsidRDefault="00D35BC0"/>
  <w:p w14:paraId="4D65CB90" w14:textId="70187DDB" w:rsidR="00F3611A" w:rsidRDefault="005F67D3" w:rsidP="00F3611A">
    <w:r>
      <w:fldChar w:fldCharType="begin"/>
    </w:r>
    <w:r>
      <w:instrText xml:space="preserve"> DOCPROPERTY iManageFooter \* MERGEFORMAT </w:instrText>
    </w:r>
    <w:r>
      <w:fldChar w:fldCharType="separate"/>
    </w:r>
    <w:r w:rsidR="00D9576B" w:rsidRPr="00D9576B">
      <w:rPr>
        <w:rFonts w:cs="Times New Roman"/>
        <w:sz w:val="16"/>
      </w:rPr>
      <w:t>#103409464v2</w:t>
    </w:r>
    <w:r>
      <w:rPr>
        <w:rFonts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FFB11" w14:textId="77777777" w:rsidR="00F3611A" w:rsidRDefault="00F3611A">
    <w:pPr>
      <w:pStyle w:val="Footer"/>
    </w:pPr>
  </w:p>
  <w:p w14:paraId="25682EE4" w14:textId="1DE01010" w:rsidR="00F3611A" w:rsidRDefault="005F67D3" w:rsidP="00F3611A">
    <w:pPr>
      <w:pStyle w:val="Footer"/>
    </w:pPr>
    <w:r>
      <w:fldChar w:fldCharType="begin"/>
    </w:r>
    <w:r>
      <w:instrText xml:space="preserve"> DOCPROPERTY iManageFooter \* MERGEFORMAT </w:instrText>
    </w:r>
    <w:r>
      <w:fldChar w:fldCharType="separate"/>
    </w:r>
    <w:r w:rsidR="00D9576B" w:rsidRPr="00D9576B">
      <w:rPr>
        <w:rFonts w:cs="Times New Roman"/>
        <w:sz w:val="16"/>
      </w:rPr>
      <w:t>#103409464v2</w:t>
    </w:r>
    <w:r>
      <w:rPr>
        <w:rFonts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1527F" w14:textId="77777777" w:rsidR="00D35BC0" w:rsidRDefault="00F3611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8FE39EA" w14:textId="77777777" w:rsidR="00D35BC0" w:rsidRDefault="00F3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E38B" w14:textId="77777777" w:rsidR="00D9576B" w:rsidRDefault="00D95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EDEE" w14:textId="77777777" w:rsidR="00D9576B" w:rsidRDefault="00D95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7980" w14:textId="77777777" w:rsidR="00D9576B" w:rsidRDefault="00D95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33B77"/>
    <w:multiLevelType w:val="hybridMultilevel"/>
    <w:tmpl w:val="3692C906"/>
    <w:lvl w:ilvl="0" w:tplc="7096B0D0">
      <w:start w:val="1"/>
      <w:numFmt w:val="decimal"/>
      <w:pStyle w:val="JWNumberedBodyText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20B5"/>
    <w:multiLevelType w:val="multilevel"/>
    <w:tmpl w:val="1FDEC7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E0E20"/>
    <w:multiLevelType w:val="multilevel"/>
    <w:tmpl w:val="CFA6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1329A"/>
    <w:multiLevelType w:val="multilevel"/>
    <w:tmpl w:val="7506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1247"/>
    <w:multiLevelType w:val="hybridMultilevel"/>
    <w:tmpl w:val="7506CBB2"/>
    <w:lvl w:ilvl="0" w:tplc="251C1DF0">
      <w:start w:val="1"/>
      <w:numFmt w:val="bullet"/>
      <w:pStyle w:val="JWBulletedLis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4393730">
    <w:abstractNumId w:val="4"/>
  </w:num>
  <w:num w:numId="2" w16cid:durableId="1380738237">
    <w:abstractNumId w:val="3"/>
  </w:num>
  <w:num w:numId="3" w16cid:durableId="1400909672">
    <w:abstractNumId w:val="0"/>
  </w:num>
  <w:num w:numId="4" w16cid:durableId="908997115">
    <w:abstractNumId w:val="2"/>
  </w:num>
  <w:num w:numId="5" w16cid:durableId="88729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False"/>
    <w:docVar w:name="DocIDDate" w:val="False"/>
    <w:docVar w:name="DocIDDateText" w:val="False"/>
    <w:docVar w:name="DocIDLibrary" w:val="True"/>
    <w:docVar w:name="DocIDType" w:val="AllPages"/>
  </w:docVars>
  <w:rsids>
    <w:rsidRoot w:val="00D35BC0"/>
    <w:rsid w:val="001E6EAF"/>
    <w:rsid w:val="004B03DD"/>
    <w:rsid w:val="0052609C"/>
    <w:rsid w:val="005F67D3"/>
    <w:rsid w:val="007322B8"/>
    <w:rsid w:val="0078176D"/>
    <w:rsid w:val="00936388"/>
    <w:rsid w:val="009E16F3"/>
    <w:rsid w:val="00AD3076"/>
    <w:rsid w:val="00D35BC0"/>
    <w:rsid w:val="00D9576B"/>
    <w:rsid w:val="00DE1806"/>
    <w:rsid w:val="00E210EE"/>
    <w:rsid w:val="00F3611A"/>
    <w:rsid w:val="00F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oNotEmbedSmartTags/>
  <w:decimalSymbol w:val="."/>
  <w:listSeparator w:val=","/>
  <w14:docId w14:val="53CE7691"/>
  <w15:chartTrackingRefBased/>
  <w15:docId w15:val="{28358E2E-B95E-4CBC-85EE-23B54937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after="240"/>
      <w:outlineLvl w:val="6"/>
    </w:pPr>
  </w:style>
  <w:style w:type="paragraph" w:styleId="Heading8">
    <w:name w:val="heading 8"/>
    <w:basedOn w:val="Normal"/>
    <w:next w:val="Normal"/>
    <w:qFormat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spacing w:after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after="240"/>
      <w:ind w:left="720" w:right="432" w:hanging="720"/>
    </w:pPr>
    <w:rPr>
      <w:noProof/>
      <w:szCs w:val="20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spacing w:after="240"/>
      <w:ind w:left="1440" w:right="432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spacing w:after="240"/>
      <w:ind w:left="2160" w:right="432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2880"/>
        <w:tab w:val="right" w:leader="dot" w:pos="9360"/>
      </w:tabs>
      <w:spacing w:after="240"/>
      <w:ind w:left="2880" w:right="432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spacing w:after="240"/>
      <w:ind w:left="3600" w:right="432" w:hanging="720"/>
    </w:pPr>
    <w:rPr>
      <w:noProof/>
    </w:rPr>
  </w:style>
  <w:style w:type="paragraph" w:styleId="TOC6">
    <w:name w:val="toc 6"/>
    <w:basedOn w:val="Normal"/>
    <w:next w:val="Normal"/>
    <w:autoRedefine/>
    <w:semiHidden/>
    <w:pPr>
      <w:tabs>
        <w:tab w:val="left" w:pos="4320"/>
        <w:tab w:val="right" w:leader="dot" w:pos="9360"/>
      </w:tabs>
      <w:spacing w:after="240"/>
      <w:ind w:left="4320" w:right="432" w:hanging="72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left" w:pos="5040"/>
        <w:tab w:val="right" w:leader="dot" w:pos="9360"/>
      </w:tabs>
      <w:spacing w:after="240"/>
      <w:ind w:left="5040" w:right="432" w:hanging="720"/>
    </w:pPr>
    <w:rPr>
      <w:noProof/>
    </w:rPr>
  </w:style>
  <w:style w:type="paragraph" w:styleId="TOC8">
    <w:name w:val="toc 8"/>
    <w:basedOn w:val="Normal"/>
    <w:next w:val="Normal"/>
    <w:autoRedefine/>
    <w:semiHidden/>
    <w:pPr>
      <w:tabs>
        <w:tab w:val="left" w:pos="5760"/>
        <w:tab w:val="right" w:leader="dot" w:pos="9360"/>
      </w:tabs>
      <w:spacing w:after="240"/>
      <w:ind w:left="5760" w:right="432" w:hanging="720"/>
    </w:pPr>
    <w:rPr>
      <w:noProof/>
    </w:rPr>
  </w:style>
  <w:style w:type="paragraph" w:styleId="TOC9">
    <w:name w:val="toc 9"/>
    <w:basedOn w:val="Normal"/>
    <w:next w:val="Normal"/>
    <w:autoRedefine/>
    <w:semiHidden/>
    <w:pPr>
      <w:ind w:left="6480" w:right="432" w:hanging="720"/>
    </w:pPr>
    <w:rPr>
      <w:noProof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JWBodyText">
    <w:name w:val="JW Body Text"/>
    <w:basedOn w:val="Normal"/>
    <w:pPr>
      <w:spacing w:after="240"/>
      <w:ind w:firstLine="720"/>
    </w:pPr>
  </w:style>
  <w:style w:type="paragraph" w:customStyle="1" w:styleId="JWBlockText">
    <w:name w:val="JW Block Text"/>
    <w:basedOn w:val="Normal"/>
    <w:pPr>
      <w:spacing w:after="240"/>
    </w:pPr>
  </w:style>
  <w:style w:type="paragraph" w:customStyle="1" w:styleId="JWDoubleIndent">
    <w:name w:val="JW Double Indent"/>
    <w:basedOn w:val="Normal"/>
    <w:next w:val="JWBlockText"/>
    <w:pPr>
      <w:spacing w:after="240"/>
      <w:ind w:left="720" w:right="720"/>
    </w:pPr>
  </w:style>
  <w:style w:type="paragraph" w:customStyle="1" w:styleId="JWTitle">
    <w:name w:val="JW Title"/>
    <w:basedOn w:val="Normal"/>
    <w:next w:val="JWBodyText"/>
    <w:pPr>
      <w:keepNext/>
      <w:spacing w:after="240"/>
      <w:jc w:val="center"/>
    </w:pPr>
    <w:rPr>
      <w:b/>
    </w:rPr>
  </w:style>
  <w:style w:type="paragraph" w:customStyle="1" w:styleId="JWTitle2">
    <w:name w:val="JW Title 2"/>
    <w:basedOn w:val="Normal"/>
    <w:next w:val="JWBodyText"/>
    <w:pPr>
      <w:keepNext/>
      <w:spacing w:after="240"/>
    </w:pPr>
    <w:rPr>
      <w:b/>
    </w:rPr>
  </w:style>
  <w:style w:type="paragraph" w:customStyle="1" w:styleId="JWBulletedList">
    <w:name w:val="JW Bulleted List"/>
    <w:basedOn w:val="Normal"/>
    <w:pPr>
      <w:numPr>
        <w:numId w:val="1"/>
      </w:numPr>
      <w:spacing w:after="240"/>
      <w:contextualSpacing/>
    </w:pPr>
  </w:style>
  <w:style w:type="paragraph" w:customStyle="1" w:styleId="JWNumberedList">
    <w:name w:val="JW Numbered List"/>
    <w:basedOn w:val="Normal"/>
    <w:pPr>
      <w:spacing w:after="240"/>
    </w:pPr>
  </w:style>
  <w:style w:type="paragraph" w:customStyle="1" w:styleId="JWNumberedBodyText">
    <w:name w:val="JW Numbered Body Text"/>
    <w:basedOn w:val="Normal"/>
    <w:pPr>
      <w:numPr>
        <w:numId w:val="3"/>
      </w:numPr>
      <w:spacing w:after="240"/>
    </w:pPr>
  </w:style>
  <w:style w:type="paragraph" w:customStyle="1" w:styleId="JWSignature">
    <w:name w:val="JW Signature"/>
    <w:basedOn w:val="Normal"/>
    <w:pPr>
      <w:spacing w:after="240"/>
      <w:ind w:left="5040"/>
    </w:pPr>
  </w:style>
  <w:style w:type="paragraph" w:customStyle="1" w:styleId="JWBodyText2">
    <w:name w:val="JW Body Text 2"/>
    <w:basedOn w:val="Normal"/>
    <w:pPr>
      <w:spacing w:line="480" w:lineRule="auto"/>
      <w:ind w:firstLine="720"/>
    </w:pPr>
  </w:style>
  <w:style w:type="character" w:customStyle="1" w:styleId="DocID">
    <w:name w:val="DocID"/>
    <w:rPr>
      <w:rFonts w:ascii="Times New Roman" w:hAnsi="Times New Roman" w:cs="Times New Roman"/>
      <w:b w:val="0"/>
      <w:sz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JW!103409464.2</documentid>
  <senderid>4267</senderid>
  <senderemail>NLANDRY@JONESWALKER.COM</senderemail>
  <lastmodified>2025-01-27T09:47:00.0000000-06:00</lastmodified>
  <database>JW</database>
</properties>
</file>

<file path=customXml/itemProps1.xml><?xml version="1.0" encoding="utf-8"?>
<ds:datastoreItem xmlns:ds="http://schemas.openxmlformats.org/officeDocument/2006/customXml" ds:itemID="{C3D5FB09-B3FC-4570-973B-F46416AE32EC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2740</Characters>
  <Application>Microsoft Office Word</Application>
  <DocSecurity>4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TEFRA Notice 2019 (B1279840).DOCX</vt:lpstr>
    </vt:vector>
  </TitlesOfParts>
  <Company>Payne Consulting Group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TEFRA Notice 2019 (B1279840-1).DOCX</dc:title>
  <dc:subject>B1279840.1/font=8</dc:subject>
  <dc:creator>Jones Walker</dc:creator>
  <cp:keywords/>
  <dc:description/>
  <cp:lastModifiedBy>Kaylee Maglone</cp:lastModifiedBy>
  <cp:revision>2</cp:revision>
  <cp:lastPrinted>2019-05-09T21:10:00Z</cp:lastPrinted>
  <dcterms:created xsi:type="dcterms:W3CDTF">2025-02-10T18:27:00Z</dcterms:created>
  <dcterms:modified xsi:type="dcterms:W3CDTF">2025-02-10T18:27:00Z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iManageFooter">
    <vt:lpwstr>#103409464v2</vt:lpwstr>
  </property>
</Properties>
</file>